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F58C" w14:textId="0D880EBD" w:rsidR="00573709" w:rsidRPr="00C91A4C" w:rsidRDefault="009C59BF">
      <w:pPr>
        <w:pStyle w:val="Heading1"/>
        <w:spacing w:before="31" w:line="341" w:lineRule="exact"/>
        <w:ind w:left="1023"/>
      </w:pPr>
      <w:r w:rsidRPr="00C91A4C">
        <w:t>PLAN AMENDMENT #</w:t>
      </w:r>
      <w:r w:rsidR="00AA6406">
        <w:t>1</w:t>
      </w:r>
    </w:p>
    <w:p w14:paraId="378BF58F" w14:textId="77777777" w:rsidR="00573709" w:rsidRPr="00C91A4C" w:rsidRDefault="009C59BF">
      <w:pPr>
        <w:spacing w:line="341" w:lineRule="exact"/>
        <w:ind w:left="1021" w:right="1200"/>
        <w:jc w:val="center"/>
        <w:rPr>
          <w:b/>
          <w:sz w:val="28"/>
          <w:szCs w:val="28"/>
        </w:rPr>
      </w:pPr>
      <w:r w:rsidRPr="00C91A4C">
        <w:rPr>
          <w:b/>
          <w:sz w:val="28"/>
          <w:szCs w:val="28"/>
        </w:rPr>
        <w:t>for</w:t>
      </w:r>
    </w:p>
    <w:p w14:paraId="22BB63B5" w14:textId="17554D43" w:rsidR="00A61D3E" w:rsidRPr="00C91A4C" w:rsidRDefault="009C59BF" w:rsidP="00D95EC9">
      <w:pPr>
        <w:spacing w:before="1"/>
        <w:ind w:right="-10"/>
        <w:jc w:val="center"/>
        <w:rPr>
          <w:b/>
          <w:sz w:val="28"/>
          <w:szCs w:val="28"/>
        </w:rPr>
      </w:pPr>
      <w:r w:rsidRPr="00C91A4C">
        <w:rPr>
          <w:b/>
          <w:sz w:val="28"/>
          <w:szCs w:val="28"/>
        </w:rPr>
        <w:t xml:space="preserve">THE EDCARE GROUP HEALTH BENEFITS PLAN (Restated </w:t>
      </w:r>
      <w:r w:rsidR="00AA6406">
        <w:rPr>
          <w:b/>
          <w:sz w:val="28"/>
          <w:szCs w:val="28"/>
        </w:rPr>
        <w:t>January 1, 2023</w:t>
      </w:r>
      <w:r w:rsidRPr="00C91A4C">
        <w:rPr>
          <w:b/>
          <w:sz w:val="28"/>
          <w:szCs w:val="28"/>
        </w:rPr>
        <w:t>)</w:t>
      </w:r>
    </w:p>
    <w:p w14:paraId="378BF591" w14:textId="77777777" w:rsidR="00573709" w:rsidRPr="00C91A4C" w:rsidRDefault="00573709">
      <w:pPr>
        <w:pStyle w:val="BodyText"/>
        <w:spacing w:before="10"/>
        <w:rPr>
          <w:b/>
          <w:sz w:val="24"/>
          <w:szCs w:val="24"/>
        </w:rPr>
      </w:pPr>
    </w:p>
    <w:p w14:paraId="378BF592" w14:textId="142FB1D7" w:rsidR="00573709" w:rsidRDefault="009C59BF" w:rsidP="001E5DFE">
      <w:pPr>
        <w:spacing w:line="242" w:lineRule="auto"/>
        <w:ind w:left="219" w:right="-10"/>
        <w:jc w:val="both"/>
        <w:rPr>
          <w:sz w:val="24"/>
          <w:szCs w:val="24"/>
        </w:rPr>
      </w:pPr>
      <w:r w:rsidRPr="00C91A4C">
        <w:rPr>
          <w:sz w:val="24"/>
          <w:szCs w:val="24"/>
        </w:rPr>
        <w:t xml:space="preserve">Effective </w:t>
      </w:r>
      <w:r w:rsidR="00AA6406">
        <w:rPr>
          <w:sz w:val="24"/>
          <w:szCs w:val="24"/>
        </w:rPr>
        <w:t xml:space="preserve">October </w:t>
      </w:r>
      <w:r w:rsidR="00A61D3E">
        <w:rPr>
          <w:sz w:val="24"/>
          <w:szCs w:val="24"/>
        </w:rPr>
        <w:t>1, 2023</w:t>
      </w:r>
      <w:r w:rsidRPr="00C91A4C">
        <w:rPr>
          <w:sz w:val="24"/>
          <w:szCs w:val="24"/>
        </w:rPr>
        <w:t>, The EdCare Group hereby amends the Benefit Document &amp; Summary Plan Description as follows:</w:t>
      </w:r>
    </w:p>
    <w:p w14:paraId="202AFA6D" w14:textId="77777777" w:rsidR="007A2BAC" w:rsidRPr="00C91A4C" w:rsidRDefault="007A2BAC" w:rsidP="001E5DFE">
      <w:pPr>
        <w:spacing w:line="242" w:lineRule="auto"/>
        <w:ind w:left="219" w:right="-10"/>
        <w:jc w:val="both"/>
        <w:rPr>
          <w:sz w:val="24"/>
          <w:szCs w:val="24"/>
        </w:rPr>
      </w:pPr>
    </w:p>
    <w:p w14:paraId="7BD09A85" w14:textId="1FD2DBBB" w:rsidR="00FA3EAD" w:rsidRPr="006C274E" w:rsidRDefault="00925EE7" w:rsidP="007A2BAC">
      <w:pPr>
        <w:pStyle w:val="BodyText"/>
        <w:jc w:val="center"/>
        <w:rPr>
          <w:sz w:val="22"/>
          <w:szCs w:val="22"/>
        </w:rPr>
      </w:pPr>
      <w:bookmarkStart w:id="0" w:name="MEDICAL_BENEFIT_SUMMARY"/>
      <w:bookmarkStart w:id="1" w:name="CHOICE_OF_PROVIDERS"/>
      <w:bookmarkEnd w:id="0"/>
      <w:bookmarkEnd w:id="1"/>
      <w:r>
        <w:rPr>
          <w:b/>
          <w:bCs/>
          <w:sz w:val="28"/>
          <w:szCs w:val="28"/>
        </w:rPr>
        <w:t>IMPORTANT INFORMATION</w:t>
      </w:r>
    </w:p>
    <w:p w14:paraId="26B12283" w14:textId="77777777" w:rsidR="007A2BAC" w:rsidRDefault="007A2BAC" w:rsidP="003D7554">
      <w:pPr>
        <w:pStyle w:val="BodyText"/>
        <w:ind w:left="270"/>
        <w:jc w:val="both"/>
        <w:rPr>
          <w:sz w:val="22"/>
          <w:szCs w:val="22"/>
        </w:rPr>
      </w:pPr>
    </w:p>
    <w:p w14:paraId="3FA3D2BF" w14:textId="716F3CAC" w:rsidR="003D7986" w:rsidRDefault="003C00D4" w:rsidP="00BB708D">
      <w:pPr>
        <w:pStyle w:val="BodyText"/>
        <w:ind w:left="270"/>
        <w:jc w:val="both"/>
        <w:rPr>
          <w:sz w:val="22"/>
          <w:szCs w:val="22"/>
        </w:rPr>
      </w:pPr>
      <w:r>
        <w:rPr>
          <w:sz w:val="22"/>
          <w:szCs w:val="22"/>
        </w:rPr>
        <w:t>T</w:t>
      </w:r>
      <w:r w:rsidR="0049012D">
        <w:rPr>
          <w:sz w:val="22"/>
          <w:szCs w:val="22"/>
        </w:rPr>
        <w:t>he</w:t>
      </w:r>
      <w:r w:rsidR="00EA392B">
        <w:rPr>
          <w:sz w:val="22"/>
          <w:szCs w:val="22"/>
        </w:rPr>
        <w:t xml:space="preserve"> </w:t>
      </w:r>
      <w:r w:rsidR="00925EE7">
        <w:rPr>
          <w:sz w:val="22"/>
          <w:szCs w:val="22"/>
        </w:rPr>
        <w:t>section identified as</w:t>
      </w:r>
      <w:r w:rsidR="00BB708D">
        <w:rPr>
          <w:sz w:val="22"/>
          <w:szCs w:val="22"/>
        </w:rPr>
        <w:t xml:space="preserve"> </w:t>
      </w:r>
      <w:r w:rsidR="00925EE7">
        <w:rPr>
          <w:sz w:val="22"/>
          <w:szCs w:val="22"/>
        </w:rPr>
        <w:t>‘</w:t>
      </w:r>
      <w:r w:rsidR="00BB708D" w:rsidRPr="00BB708D">
        <w:rPr>
          <w:sz w:val="22"/>
          <w:szCs w:val="22"/>
        </w:rPr>
        <w:t>FAMILIES FIRST CORONAVIRUS RESPONSE ACT AND THE CORONAVIRUS AID, RELIEF, AND ECONOMIC SECURITY ACT</w:t>
      </w:r>
      <w:r w:rsidR="00BB708D">
        <w:rPr>
          <w:sz w:val="22"/>
          <w:szCs w:val="22"/>
        </w:rPr>
        <w:t>’</w:t>
      </w:r>
      <w:r w:rsidR="00336BA3">
        <w:rPr>
          <w:sz w:val="22"/>
          <w:szCs w:val="22"/>
        </w:rPr>
        <w:t xml:space="preserve"> </w:t>
      </w:r>
      <w:r w:rsidR="00EA392B">
        <w:rPr>
          <w:sz w:val="22"/>
          <w:szCs w:val="22"/>
        </w:rPr>
        <w:t xml:space="preserve">on page </w:t>
      </w:r>
      <w:r w:rsidR="00BB708D">
        <w:rPr>
          <w:sz w:val="22"/>
          <w:szCs w:val="22"/>
        </w:rPr>
        <w:t>2</w:t>
      </w:r>
      <w:r>
        <w:rPr>
          <w:sz w:val="22"/>
          <w:szCs w:val="22"/>
        </w:rPr>
        <w:t xml:space="preserve"> is removed in its entirety</w:t>
      </w:r>
      <w:r w:rsidR="00BB708D">
        <w:rPr>
          <w:sz w:val="22"/>
          <w:szCs w:val="22"/>
        </w:rPr>
        <w:t>.</w:t>
      </w:r>
    </w:p>
    <w:p w14:paraId="06E1AA66" w14:textId="39BAB2E7" w:rsidR="00EB3A72" w:rsidRDefault="00EB3A72" w:rsidP="00EB3A72">
      <w:pPr>
        <w:pStyle w:val="BodyText"/>
        <w:rPr>
          <w:sz w:val="22"/>
          <w:szCs w:val="22"/>
        </w:rPr>
      </w:pPr>
    </w:p>
    <w:p w14:paraId="44C66C64" w14:textId="181EA671" w:rsidR="00EB3A72" w:rsidRDefault="00002ACB" w:rsidP="00EB3A72">
      <w:pPr>
        <w:pStyle w:val="Heading1"/>
        <w:spacing w:before="194"/>
      </w:pPr>
      <w:r>
        <w:t>DEFINITIONS</w:t>
      </w:r>
    </w:p>
    <w:p w14:paraId="0B39117F" w14:textId="77777777" w:rsidR="00EB3A72" w:rsidRPr="006C274E" w:rsidRDefault="00EB3A72" w:rsidP="00EB3A72">
      <w:pPr>
        <w:pStyle w:val="BodyText"/>
        <w:rPr>
          <w:sz w:val="22"/>
          <w:szCs w:val="22"/>
        </w:rPr>
      </w:pPr>
    </w:p>
    <w:p w14:paraId="1451D51A" w14:textId="67D2EB6C" w:rsidR="00056598" w:rsidRDefault="00677F95" w:rsidP="008A6E35">
      <w:pPr>
        <w:pStyle w:val="BodyText"/>
        <w:ind w:left="180"/>
        <w:jc w:val="both"/>
        <w:rPr>
          <w:sz w:val="22"/>
          <w:szCs w:val="22"/>
        </w:rPr>
      </w:pPr>
      <w:r w:rsidRPr="00677F95">
        <w:rPr>
          <w:sz w:val="22"/>
          <w:szCs w:val="22"/>
        </w:rPr>
        <w:t>DEFINITIONS, at pages 5</w:t>
      </w:r>
      <w:r w:rsidR="00941539">
        <w:rPr>
          <w:sz w:val="22"/>
          <w:szCs w:val="22"/>
        </w:rPr>
        <w:t>7</w:t>
      </w:r>
      <w:r w:rsidRPr="00677F95">
        <w:rPr>
          <w:sz w:val="22"/>
          <w:szCs w:val="22"/>
        </w:rPr>
        <w:t>-6</w:t>
      </w:r>
      <w:r w:rsidR="00941539">
        <w:rPr>
          <w:sz w:val="22"/>
          <w:szCs w:val="22"/>
        </w:rPr>
        <w:t>3</w:t>
      </w:r>
      <w:r w:rsidRPr="00677F95">
        <w:rPr>
          <w:sz w:val="22"/>
          <w:szCs w:val="22"/>
        </w:rPr>
        <w:t xml:space="preserve">, is amended to </w:t>
      </w:r>
      <w:r w:rsidR="00223FED">
        <w:rPr>
          <w:sz w:val="22"/>
          <w:szCs w:val="22"/>
        </w:rPr>
        <w:t>modify</w:t>
      </w:r>
      <w:r w:rsidRPr="00677F95">
        <w:rPr>
          <w:sz w:val="22"/>
          <w:szCs w:val="22"/>
        </w:rPr>
        <w:t xml:space="preserve"> the</w:t>
      </w:r>
      <w:r w:rsidR="007F57F8">
        <w:rPr>
          <w:sz w:val="22"/>
          <w:szCs w:val="22"/>
        </w:rPr>
        <w:t xml:space="preserve"> first sentence in the</w:t>
      </w:r>
      <w:r w:rsidRPr="00677F95">
        <w:rPr>
          <w:sz w:val="22"/>
          <w:szCs w:val="22"/>
        </w:rPr>
        <w:t xml:space="preserve"> definition </w:t>
      </w:r>
      <w:r w:rsidR="002D6B03">
        <w:rPr>
          <w:sz w:val="22"/>
          <w:szCs w:val="22"/>
        </w:rPr>
        <w:t>of</w:t>
      </w:r>
      <w:r w:rsidRPr="00677F95">
        <w:rPr>
          <w:sz w:val="22"/>
          <w:szCs w:val="22"/>
        </w:rPr>
        <w:t xml:space="preserve"> ‘</w:t>
      </w:r>
      <w:r w:rsidR="008A6E35" w:rsidRPr="008A6E35">
        <w:rPr>
          <w:sz w:val="22"/>
          <w:szCs w:val="22"/>
        </w:rPr>
        <w:t>Usua</w:t>
      </w:r>
      <w:r w:rsidR="00133174">
        <w:rPr>
          <w:sz w:val="22"/>
          <w:szCs w:val="22"/>
        </w:rPr>
        <w:t xml:space="preserve">l and </w:t>
      </w:r>
      <w:r w:rsidR="008A6E35" w:rsidRPr="008A6E35">
        <w:rPr>
          <w:sz w:val="22"/>
          <w:szCs w:val="22"/>
        </w:rPr>
        <w:t>Customary</w:t>
      </w:r>
      <w:r w:rsidRPr="00677F95">
        <w:rPr>
          <w:sz w:val="22"/>
          <w:szCs w:val="22"/>
        </w:rPr>
        <w:t>’</w:t>
      </w:r>
      <w:r w:rsidR="008A6E35">
        <w:rPr>
          <w:sz w:val="22"/>
          <w:szCs w:val="22"/>
        </w:rPr>
        <w:t xml:space="preserve"> </w:t>
      </w:r>
      <w:r w:rsidRPr="00677F95">
        <w:rPr>
          <w:sz w:val="22"/>
          <w:szCs w:val="22"/>
        </w:rPr>
        <w:t xml:space="preserve">and </w:t>
      </w:r>
      <w:r w:rsidR="002D6B03">
        <w:rPr>
          <w:sz w:val="22"/>
          <w:szCs w:val="22"/>
        </w:rPr>
        <w:t xml:space="preserve">to </w:t>
      </w:r>
      <w:r w:rsidRPr="00677F95">
        <w:rPr>
          <w:sz w:val="22"/>
          <w:szCs w:val="22"/>
        </w:rPr>
        <w:t>add</w:t>
      </w:r>
      <w:r w:rsidR="008A6E35">
        <w:rPr>
          <w:sz w:val="22"/>
          <w:szCs w:val="22"/>
        </w:rPr>
        <w:t xml:space="preserve"> </w:t>
      </w:r>
      <w:r w:rsidRPr="00677F95">
        <w:rPr>
          <w:sz w:val="22"/>
          <w:szCs w:val="22"/>
        </w:rPr>
        <w:t>new definition</w:t>
      </w:r>
      <w:r w:rsidR="008A6E35">
        <w:rPr>
          <w:sz w:val="22"/>
          <w:szCs w:val="22"/>
        </w:rPr>
        <w:t>s</w:t>
      </w:r>
      <w:r w:rsidRPr="00677F95">
        <w:rPr>
          <w:sz w:val="22"/>
          <w:szCs w:val="22"/>
        </w:rPr>
        <w:t xml:space="preserve"> for ‘</w:t>
      </w:r>
      <w:r w:rsidR="00056598" w:rsidRPr="00056598">
        <w:rPr>
          <w:sz w:val="22"/>
          <w:szCs w:val="22"/>
        </w:rPr>
        <w:t>Qualifying Payment Amount</w:t>
      </w:r>
      <w:r w:rsidR="00056598">
        <w:rPr>
          <w:sz w:val="22"/>
          <w:szCs w:val="22"/>
        </w:rPr>
        <w:t>’</w:t>
      </w:r>
      <w:r w:rsidR="00056598" w:rsidRPr="00056598">
        <w:rPr>
          <w:sz w:val="22"/>
          <w:szCs w:val="22"/>
        </w:rPr>
        <w:t xml:space="preserve"> and </w:t>
      </w:r>
      <w:r w:rsidR="00056598">
        <w:rPr>
          <w:sz w:val="22"/>
          <w:szCs w:val="22"/>
        </w:rPr>
        <w:t>‘</w:t>
      </w:r>
      <w:r w:rsidR="00056598" w:rsidRPr="00056598">
        <w:rPr>
          <w:sz w:val="22"/>
          <w:szCs w:val="22"/>
        </w:rPr>
        <w:t>Certified IDR Entity</w:t>
      </w:r>
      <w:r w:rsidRPr="00677F95">
        <w:rPr>
          <w:sz w:val="22"/>
          <w:szCs w:val="22"/>
        </w:rPr>
        <w:t>’</w:t>
      </w:r>
      <w:r w:rsidR="000E23B2">
        <w:rPr>
          <w:sz w:val="22"/>
          <w:szCs w:val="22"/>
        </w:rPr>
        <w:t>.</w:t>
      </w:r>
    </w:p>
    <w:p w14:paraId="539FFDBB" w14:textId="77777777" w:rsidR="00A95BB7" w:rsidRDefault="00A95BB7" w:rsidP="008A6E35">
      <w:pPr>
        <w:pStyle w:val="BodyText"/>
        <w:ind w:left="180"/>
        <w:jc w:val="both"/>
        <w:rPr>
          <w:sz w:val="22"/>
          <w:szCs w:val="22"/>
        </w:rPr>
      </w:pPr>
    </w:p>
    <w:p w14:paraId="7A19AB27" w14:textId="5E9979A7" w:rsidR="000E23B2" w:rsidRDefault="00A95BB7" w:rsidP="008A6E35">
      <w:pPr>
        <w:pStyle w:val="BodyText"/>
        <w:ind w:left="180"/>
        <w:jc w:val="both"/>
        <w:rPr>
          <w:sz w:val="22"/>
          <w:szCs w:val="22"/>
        </w:rPr>
      </w:pPr>
      <w:r>
        <w:rPr>
          <w:sz w:val="22"/>
          <w:szCs w:val="22"/>
        </w:rPr>
        <w:tab/>
      </w:r>
      <w:r w:rsidR="00133174">
        <w:rPr>
          <w:sz w:val="22"/>
          <w:szCs w:val="22"/>
        </w:rPr>
        <w:t xml:space="preserve">The first sentence of the definition for </w:t>
      </w:r>
      <w:r w:rsidR="004341E1">
        <w:rPr>
          <w:sz w:val="22"/>
          <w:szCs w:val="22"/>
        </w:rPr>
        <w:t>‘Usual and Customary’ is amend</w:t>
      </w:r>
      <w:r w:rsidR="008038AC">
        <w:rPr>
          <w:sz w:val="22"/>
          <w:szCs w:val="22"/>
        </w:rPr>
        <w:t>ed and replaced</w:t>
      </w:r>
      <w:r w:rsidR="000E23B2">
        <w:rPr>
          <w:sz w:val="22"/>
          <w:szCs w:val="22"/>
        </w:rPr>
        <w:t xml:space="preserve"> with the following</w:t>
      </w:r>
      <w:r w:rsidR="00635AB8">
        <w:rPr>
          <w:sz w:val="22"/>
          <w:szCs w:val="22"/>
        </w:rPr>
        <w:t xml:space="preserve"> (the remainder of the definition is unchanged)</w:t>
      </w:r>
      <w:r w:rsidR="000E23B2">
        <w:rPr>
          <w:sz w:val="22"/>
          <w:szCs w:val="22"/>
        </w:rPr>
        <w:t>:</w:t>
      </w:r>
    </w:p>
    <w:p w14:paraId="214D6193" w14:textId="76D20D22" w:rsidR="000E23B2" w:rsidRDefault="000E23B2" w:rsidP="002D6B03">
      <w:pPr>
        <w:pStyle w:val="BodyText"/>
        <w:ind w:left="720" w:hanging="540"/>
        <w:jc w:val="both"/>
        <w:rPr>
          <w:sz w:val="22"/>
          <w:szCs w:val="22"/>
        </w:rPr>
      </w:pPr>
      <w:r>
        <w:rPr>
          <w:sz w:val="22"/>
          <w:szCs w:val="22"/>
        </w:rPr>
        <w:tab/>
      </w:r>
      <w:r>
        <w:rPr>
          <w:b/>
          <w:bCs/>
          <w:sz w:val="22"/>
          <w:szCs w:val="22"/>
        </w:rPr>
        <w:t>Usual and Customary</w:t>
      </w:r>
      <w:r>
        <w:rPr>
          <w:sz w:val="22"/>
          <w:szCs w:val="22"/>
        </w:rPr>
        <w:t xml:space="preserve"> - </w:t>
      </w:r>
      <w:r w:rsidR="002D6B03" w:rsidRPr="002D6B03">
        <w:rPr>
          <w:sz w:val="22"/>
          <w:szCs w:val="22"/>
        </w:rPr>
        <w:t>Covered Expenses which are identified by the Plan Administrator, taking into consideration the fee(s) which the Provider most frequently charges (or accepts for) the majority of patients for the service or supply, the cost to the Provider for providing the services, the prevailing range of fees charged in the same “area” by Providers of similar training and experience for the service or supply, and the Medicare reimbursement rates</w:t>
      </w:r>
      <w:r w:rsidR="007801D3">
        <w:rPr>
          <w:sz w:val="22"/>
          <w:szCs w:val="22"/>
        </w:rPr>
        <w:t>,</w:t>
      </w:r>
      <w:r w:rsidR="007801D3" w:rsidRPr="007801D3">
        <w:t xml:space="preserve"> </w:t>
      </w:r>
      <w:r w:rsidR="007801D3" w:rsidRPr="007801D3">
        <w:rPr>
          <w:sz w:val="22"/>
          <w:szCs w:val="22"/>
        </w:rPr>
        <w:t>taking into consideration factors such as the Qualifying Payment Amount and the amount deemed payable by a Certified IDR Entity</w:t>
      </w:r>
      <w:r w:rsidR="002D6B03" w:rsidRPr="002D6B03">
        <w:rPr>
          <w:sz w:val="22"/>
          <w:szCs w:val="22"/>
        </w:rPr>
        <w:t>.</w:t>
      </w:r>
    </w:p>
    <w:p w14:paraId="32653F5A" w14:textId="77777777" w:rsidR="007801D3" w:rsidRDefault="007801D3" w:rsidP="002D6B03">
      <w:pPr>
        <w:pStyle w:val="BodyText"/>
        <w:ind w:left="720" w:hanging="540"/>
        <w:jc w:val="both"/>
        <w:rPr>
          <w:sz w:val="22"/>
          <w:szCs w:val="22"/>
        </w:rPr>
      </w:pPr>
    </w:p>
    <w:p w14:paraId="056AAB69" w14:textId="4FDBB847" w:rsidR="007801D3" w:rsidRDefault="007801D3" w:rsidP="002D6B03">
      <w:pPr>
        <w:pStyle w:val="BodyText"/>
        <w:ind w:left="720" w:hanging="540"/>
        <w:jc w:val="both"/>
        <w:rPr>
          <w:sz w:val="22"/>
          <w:szCs w:val="22"/>
        </w:rPr>
      </w:pPr>
      <w:r>
        <w:rPr>
          <w:sz w:val="22"/>
          <w:szCs w:val="22"/>
        </w:rPr>
        <w:tab/>
      </w:r>
      <w:r w:rsidR="00E368A1">
        <w:rPr>
          <w:b/>
          <w:bCs/>
          <w:sz w:val="22"/>
          <w:szCs w:val="22"/>
        </w:rPr>
        <w:t>Certified IDR Entity</w:t>
      </w:r>
      <w:r w:rsidR="00E368A1">
        <w:rPr>
          <w:sz w:val="22"/>
          <w:szCs w:val="22"/>
        </w:rPr>
        <w:t xml:space="preserve"> - </w:t>
      </w:r>
      <w:r w:rsidR="000D6E3B" w:rsidRPr="000D6E3B">
        <w:rPr>
          <w:sz w:val="22"/>
          <w:szCs w:val="22"/>
        </w:rPr>
        <w:t>An entity responsible for conducting determinations under the No Surprises Act and that has been properly certified by the Department of Health and Human Services, the Department of Labor, and the Department of the Treasury.</w:t>
      </w:r>
    </w:p>
    <w:p w14:paraId="2390E2C4" w14:textId="77777777" w:rsidR="000D6E3B" w:rsidRDefault="000D6E3B" w:rsidP="002D6B03">
      <w:pPr>
        <w:pStyle w:val="BodyText"/>
        <w:ind w:left="720" w:hanging="540"/>
        <w:jc w:val="both"/>
        <w:rPr>
          <w:sz w:val="22"/>
          <w:szCs w:val="22"/>
        </w:rPr>
      </w:pPr>
    </w:p>
    <w:p w14:paraId="3A2F9B74" w14:textId="6022C581" w:rsidR="000D6E3B" w:rsidRPr="000D6E3B" w:rsidRDefault="000D6E3B" w:rsidP="002D6B03">
      <w:pPr>
        <w:pStyle w:val="BodyText"/>
        <w:ind w:left="720" w:hanging="540"/>
        <w:jc w:val="both"/>
        <w:rPr>
          <w:sz w:val="22"/>
          <w:szCs w:val="22"/>
        </w:rPr>
      </w:pPr>
      <w:r>
        <w:rPr>
          <w:sz w:val="22"/>
          <w:szCs w:val="22"/>
        </w:rPr>
        <w:tab/>
      </w:r>
      <w:r>
        <w:rPr>
          <w:b/>
          <w:bCs/>
          <w:sz w:val="22"/>
          <w:szCs w:val="22"/>
        </w:rPr>
        <w:t>Qualifying Payment Amount</w:t>
      </w:r>
      <w:r>
        <w:rPr>
          <w:sz w:val="22"/>
          <w:szCs w:val="22"/>
        </w:rPr>
        <w:t xml:space="preserve"> - </w:t>
      </w:r>
      <w:r w:rsidR="00635AB8" w:rsidRPr="00635AB8">
        <w:rPr>
          <w:sz w:val="22"/>
          <w:szCs w:val="22"/>
        </w:rPr>
        <w:t>The median of the contracted rates recognized by the Plan for the same or a similar item or service provided by a Provider in the same or similar specialty in the same geographic region. If there are insufficient (meaning at least three) contracted rates available to determine a Qualifying Payment Amount, said amount will be determined by referencing a state all-payer claims database or, if unavailable, any eligible third-party database in accordance with applicable law.</w:t>
      </w:r>
    </w:p>
    <w:p w14:paraId="033285FF" w14:textId="63A9AF59" w:rsidR="00AD7586" w:rsidRPr="000461AD" w:rsidRDefault="007801D3" w:rsidP="000461AD">
      <w:pPr>
        <w:pStyle w:val="BodyText"/>
        <w:ind w:left="720" w:hanging="540"/>
        <w:jc w:val="both"/>
        <w:rPr>
          <w:sz w:val="22"/>
          <w:szCs w:val="22"/>
        </w:rPr>
      </w:pPr>
      <w:r>
        <w:rPr>
          <w:sz w:val="22"/>
          <w:szCs w:val="22"/>
        </w:rPr>
        <w:tab/>
      </w:r>
    </w:p>
    <w:p w14:paraId="378BF629" w14:textId="184AA898" w:rsidR="00573709" w:rsidRPr="006C274E" w:rsidRDefault="009C59BF" w:rsidP="00F022DE">
      <w:pPr>
        <w:ind w:left="220"/>
        <w:jc w:val="both"/>
        <w:rPr>
          <w:i/>
        </w:rPr>
      </w:pPr>
      <w:r w:rsidRPr="006C274E">
        <w:rPr>
          <w:i/>
          <w:u w:val="single"/>
        </w:rPr>
        <w:t>Effective Date</w:t>
      </w:r>
    </w:p>
    <w:p w14:paraId="378BF62A" w14:textId="25FA1CFD" w:rsidR="00573709" w:rsidRPr="006C274E" w:rsidRDefault="009C59BF" w:rsidP="00F022DE">
      <w:pPr>
        <w:pStyle w:val="BodyText"/>
        <w:ind w:left="220"/>
        <w:jc w:val="both"/>
        <w:rPr>
          <w:sz w:val="22"/>
          <w:szCs w:val="22"/>
        </w:rPr>
      </w:pPr>
      <w:r w:rsidRPr="006C274E">
        <w:rPr>
          <w:sz w:val="22"/>
          <w:szCs w:val="22"/>
        </w:rPr>
        <w:t xml:space="preserve">This Notice is effective </w:t>
      </w:r>
      <w:r w:rsidR="000461AD">
        <w:rPr>
          <w:sz w:val="22"/>
          <w:szCs w:val="22"/>
        </w:rPr>
        <w:t>October</w:t>
      </w:r>
      <w:r w:rsidR="00D32B7B">
        <w:rPr>
          <w:sz w:val="22"/>
          <w:szCs w:val="22"/>
        </w:rPr>
        <w:t xml:space="preserve"> 1, 2023</w:t>
      </w:r>
      <w:r w:rsidRPr="006C274E">
        <w:rPr>
          <w:sz w:val="22"/>
          <w:szCs w:val="22"/>
        </w:rPr>
        <w:t>.</w:t>
      </w:r>
    </w:p>
    <w:p w14:paraId="378BF62B" w14:textId="77777777" w:rsidR="00573709" w:rsidRDefault="009C59BF" w:rsidP="00F022DE">
      <w:pPr>
        <w:pStyle w:val="Heading4"/>
        <w:spacing w:line="240" w:lineRule="auto"/>
        <w:jc w:val="both"/>
      </w:pPr>
      <w:r>
        <w:t>*********************************************************************************************</w:t>
      </w:r>
    </w:p>
    <w:p w14:paraId="378BF62C" w14:textId="581585C1" w:rsidR="00573709" w:rsidRPr="00832006" w:rsidRDefault="009C59BF" w:rsidP="00F022DE">
      <w:pPr>
        <w:ind w:left="220"/>
        <w:jc w:val="both"/>
        <w:rPr>
          <w:b/>
          <w:sz w:val="24"/>
          <w:szCs w:val="24"/>
        </w:rPr>
      </w:pPr>
      <w:r w:rsidRPr="00832006">
        <w:rPr>
          <w:b/>
          <w:sz w:val="24"/>
          <w:szCs w:val="24"/>
        </w:rPr>
        <w:t>All other sections of the Plan remain unchanged.</w:t>
      </w:r>
      <w:r w:rsidR="00D32B7B">
        <w:rPr>
          <w:b/>
          <w:sz w:val="24"/>
          <w:szCs w:val="24"/>
        </w:rPr>
        <w:t xml:space="preserve"> </w:t>
      </w:r>
    </w:p>
    <w:p w14:paraId="378BF62D" w14:textId="77777777" w:rsidR="00573709" w:rsidRPr="00832006" w:rsidRDefault="00573709" w:rsidP="00F022DE">
      <w:pPr>
        <w:pStyle w:val="BodyText"/>
        <w:rPr>
          <w:b/>
          <w:sz w:val="24"/>
          <w:szCs w:val="24"/>
        </w:rPr>
      </w:pPr>
    </w:p>
    <w:p w14:paraId="378BF62E" w14:textId="62CAD219" w:rsidR="00573709" w:rsidRPr="00832006" w:rsidRDefault="009C59BF" w:rsidP="00F022DE">
      <w:pPr>
        <w:ind w:left="219" w:right="394"/>
        <w:jc w:val="both"/>
        <w:rPr>
          <w:sz w:val="24"/>
          <w:szCs w:val="24"/>
        </w:rPr>
      </w:pPr>
      <w:r w:rsidRPr="00832006">
        <w:rPr>
          <w:b/>
          <w:sz w:val="24"/>
          <w:szCs w:val="24"/>
        </w:rPr>
        <w:t xml:space="preserve">NOTICE TO PLAN PARTICIPANT: </w:t>
      </w:r>
      <w:r w:rsidRPr="00832006">
        <w:rPr>
          <w:sz w:val="24"/>
          <w:szCs w:val="24"/>
        </w:rPr>
        <w:t>REVIEW THIS AMENDMENT CAREFULLY AND THEN INSERT IT INTO YOUR BENEFIT BOOKLET. THIS AMENDMENT REFLECTS CHANGE(S) TO YOUR SUMMARY PLAN DESCRIPTION AND MAY INCLUDE MATERIAL MODIFICATIONS IN PLAN</w:t>
      </w:r>
      <w:r w:rsidRPr="00832006">
        <w:rPr>
          <w:spacing w:val="-7"/>
          <w:sz w:val="24"/>
          <w:szCs w:val="24"/>
        </w:rPr>
        <w:t xml:space="preserve"> </w:t>
      </w:r>
      <w:r w:rsidRPr="00832006">
        <w:rPr>
          <w:sz w:val="24"/>
          <w:szCs w:val="24"/>
        </w:rPr>
        <w:t>BENEFITS.</w:t>
      </w:r>
    </w:p>
    <w:p w14:paraId="5274EE8C" w14:textId="2400E17B" w:rsidR="009419C4" w:rsidRPr="009419C4" w:rsidRDefault="009419C4" w:rsidP="003D7554">
      <w:pPr>
        <w:ind w:left="219" w:right="394"/>
        <w:jc w:val="both"/>
        <w:rPr>
          <w:sz w:val="24"/>
          <w:szCs w:val="24"/>
        </w:rPr>
      </w:pPr>
    </w:p>
    <w:sectPr w:rsidR="009419C4" w:rsidRPr="009419C4">
      <w:headerReference w:type="even" r:id="rId6"/>
      <w:headerReference w:type="default" r:id="rId7"/>
      <w:footerReference w:type="even" r:id="rId8"/>
      <w:footerReference w:type="default" r:id="rId9"/>
      <w:headerReference w:type="first" r:id="rId10"/>
      <w:footerReference w:type="first" r:id="rId11"/>
      <w:pgSz w:w="12240" w:h="15840"/>
      <w:pgMar w:top="1080" w:right="1040" w:bottom="920" w:left="12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28C2" w14:textId="77777777" w:rsidR="00C261B8" w:rsidRDefault="00C261B8">
      <w:r>
        <w:separator/>
      </w:r>
    </w:p>
  </w:endnote>
  <w:endnote w:type="continuationSeparator" w:id="0">
    <w:p w14:paraId="7BF77864" w14:textId="77777777" w:rsidR="00C261B8" w:rsidRDefault="00C261B8">
      <w:r>
        <w:continuationSeparator/>
      </w:r>
    </w:p>
  </w:endnote>
  <w:endnote w:type="continuationNotice" w:id="1">
    <w:p w14:paraId="2C81F830" w14:textId="77777777" w:rsidR="00C261B8" w:rsidRDefault="00C26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26BB" w14:textId="77777777" w:rsidR="00F50B52" w:rsidRDefault="00F5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F639" w14:textId="24117BA3" w:rsidR="00573709" w:rsidRDefault="00DA05BC">
    <w:pPr>
      <w:pStyle w:val="BodyText"/>
      <w:spacing w:line="14" w:lineRule="auto"/>
    </w:pPr>
    <w:r>
      <w:rPr>
        <w:noProof/>
      </w:rPr>
      <mc:AlternateContent>
        <mc:Choice Requires="wps">
          <w:drawing>
            <wp:anchor distT="0" distB="0" distL="114300" distR="114300" simplePos="0" relativeHeight="251658240" behindDoc="1" locked="0" layoutInCell="1" allowOverlap="1" wp14:anchorId="378BF63A" wp14:editId="066D242D">
              <wp:simplePos x="0" y="0"/>
              <wp:positionH relativeFrom="page">
                <wp:posOffset>6219190</wp:posOffset>
              </wp:positionH>
              <wp:positionV relativeFrom="page">
                <wp:posOffset>9455785</wp:posOffset>
              </wp:positionV>
              <wp:extent cx="6527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BF659" w14:textId="5D1C4FC8" w:rsidR="00573709" w:rsidRDefault="009C59BF">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sidR="009419C4">
                            <w:rPr>
                              <w:rFonts w:ascii="Calibri"/>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F63A" id="_x0000_t202" coordsize="21600,21600" o:spt="202" path="m,l,21600r21600,l21600,xe">
              <v:stroke joinstyle="miter"/>
              <v:path gradientshapeok="t" o:connecttype="rect"/>
            </v:shapetype>
            <v:shape id="Text Box 1" o:spid="_x0000_s1026" type="#_x0000_t202" style="position:absolute;margin-left:489.7pt;margin-top:744.55pt;width:51.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" filled="f" stroked="f">
              <v:textbox inset="0,0,0,0">
                <w:txbxContent>
                  <w:p w14:paraId="378BF659" w14:textId="5D1C4FC8" w:rsidR="00573709" w:rsidRDefault="009C59BF">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w:t>
                    </w:r>
                    <w:r>
                      <w:rPr>
                        <w:rFonts w:ascii="Calibri"/>
                      </w:rPr>
                      <w:t xml:space="preserve">of </w:t>
                    </w:r>
                    <w:r w:rsidR="009419C4">
                      <w:rPr>
                        <w:rFonts w:ascii="Calibri"/>
                        <w:b/>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9728" w14:textId="77777777" w:rsidR="00F50B52" w:rsidRDefault="00F5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36B5" w14:textId="77777777" w:rsidR="00C261B8" w:rsidRDefault="00C261B8">
      <w:r>
        <w:separator/>
      </w:r>
    </w:p>
  </w:footnote>
  <w:footnote w:type="continuationSeparator" w:id="0">
    <w:p w14:paraId="15FF9D56" w14:textId="77777777" w:rsidR="00C261B8" w:rsidRDefault="00C261B8">
      <w:r>
        <w:continuationSeparator/>
      </w:r>
    </w:p>
  </w:footnote>
  <w:footnote w:type="continuationNotice" w:id="1">
    <w:p w14:paraId="5E5BF2A3" w14:textId="77777777" w:rsidR="00C261B8" w:rsidRDefault="00C261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286" w14:textId="77777777" w:rsidR="00F50B52" w:rsidRDefault="00F5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EE857" w14:textId="77777777" w:rsidR="00F50B52" w:rsidRDefault="00F5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93CF" w14:textId="77777777" w:rsidR="00F50B52" w:rsidRDefault="00F50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09"/>
    <w:rsid w:val="00002ACB"/>
    <w:rsid w:val="000155C0"/>
    <w:rsid w:val="00042AF2"/>
    <w:rsid w:val="000461AD"/>
    <w:rsid w:val="00056598"/>
    <w:rsid w:val="000665E3"/>
    <w:rsid w:val="000977E3"/>
    <w:rsid w:val="000B1674"/>
    <w:rsid w:val="000C121B"/>
    <w:rsid w:val="000C1987"/>
    <w:rsid w:val="000C3AB4"/>
    <w:rsid w:val="000C67CC"/>
    <w:rsid w:val="000D2FA7"/>
    <w:rsid w:val="000D30EF"/>
    <w:rsid w:val="000D6E3B"/>
    <w:rsid w:val="000E23B2"/>
    <w:rsid w:val="000F67D4"/>
    <w:rsid w:val="00103CC5"/>
    <w:rsid w:val="0012305C"/>
    <w:rsid w:val="00133174"/>
    <w:rsid w:val="00161E95"/>
    <w:rsid w:val="00176094"/>
    <w:rsid w:val="001953B8"/>
    <w:rsid w:val="001968D8"/>
    <w:rsid w:val="001A3917"/>
    <w:rsid w:val="001C1678"/>
    <w:rsid w:val="001D248E"/>
    <w:rsid w:val="001D7B59"/>
    <w:rsid w:val="001E1749"/>
    <w:rsid w:val="001E5DFE"/>
    <w:rsid w:val="00223FED"/>
    <w:rsid w:val="00230123"/>
    <w:rsid w:val="0023456A"/>
    <w:rsid w:val="0026545A"/>
    <w:rsid w:val="002657EC"/>
    <w:rsid w:val="002756E3"/>
    <w:rsid w:val="002811FF"/>
    <w:rsid w:val="00286FD1"/>
    <w:rsid w:val="002A665C"/>
    <w:rsid w:val="002B2205"/>
    <w:rsid w:val="002B6152"/>
    <w:rsid w:val="002C1E3B"/>
    <w:rsid w:val="002C3A6B"/>
    <w:rsid w:val="002D6B03"/>
    <w:rsid w:val="002E1290"/>
    <w:rsid w:val="00303CD5"/>
    <w:rsid w:val="00334AF8"/>
    <w:rsid w:val="00336025"/>
    <w:rsid w:val="00336BA3"/>
    <w:rsid w:val="003522EA"/>
    <w:rsid w:val="00371CCF"/>
    <w:rsid w:val="00377787"/>
    <w:rsid w:val="003A5E9C"/>
    <w:rsid w:val="003C00D4"/>
    <w:rsid w:val="003C4F29"/>
    <w:rsid w:val="003C6485"/>
    <w:rsid w:val="003D7554"/>
    <w:rsid w:val="003D7986"/>
    <w:rsid w:val="003F5636"/>
    <w:rsid w:val="00422187"/>
    <w:rsid w:val="004341E1"/>
    <w:rsid w:val="00447A2F"/>
    <w:rsid w:val="00466787"/>
    <w:rsid w:val="004831F2"/>
    <w:rsid w:val="0049012D"/>
    <w:rsid w:val="0049028F"/>
    <w:rsid w:val="0049349C"/>
    <w:rsid w:val="00494466"/>
    <w:rsid w:val="004A7008"/>
    <w:rsid w:val="004D389B"/>
    <w:rsid w:val="005122D0"/>
    <w:rsid w:val="00521FEF"/>
    <w:rsid w:val="005226CE"/>
    <w:rsid w:val="00524CBC"/>
    <w:rsid w:val="00540157"/>
    <w:rsid w:val="00543956"/>
    <w:rsid w:val="005616D9"/>
    <w:rsid w:val="00573709"/>
    <w:rsid w:val="005861A1"/>
    <w:rsid w:val="00590D6A"/>
    <w:rsid w:val="005C5120"/>
    <w:rsid w:val="005D7A94"/>
    <w:rsid w:val="005F374E"/>
    <w:rsid w:val="006255E5"/>
    <w:rsid w:val="00635AB8"/>
    <w:rsid w:val="00646D4C"/>
    <w:rsid w:val="0065209B"/>
    <w:rsid w:val="00653F75"/>
    <w:rsid w:val="00677F95"/>
    <w:rsid w:val="00682A94"/>
    <w:rsid w:val="006842B2"/>
    <w:rsid w:val="00693EE8"/>
    <w:rsid w:val="006C274E"/>
    <w:rsid w:val="006D1C66"/>
    <w:rsid w:val="006E370C"/>
    <w:rsid w:val="00700A2B"/>
    <w:rsid w:val="007018AC"/>
    <w:rsid w:val="00711312"/>
    <w:rsid w:val="007311DE"/>
    <w:rsid w:val="00740B4B"/>
    <w:rsid w:val="0074602F"/>
    <w:rsid w:val="00753863"/>
    <w:rsid w:val="0076369C"/>
    <w:rsid w:val="007676C0"/>
    <w:rsid w:val="0077168A"/>
    <w:rsid w:val="007801D3"/>
    <w:rsid w:val="00797BE7"/>
    <w:rsid w:val="007A2198"/>
    <w:rsid w:val="007A2BAC"/>
    <w:rsid w:val="007B085B"/>
    <w:rsid w:val="007C31A6"/>
    <w:rsid w:val="007E58A8"/>
    <w:rsid w:val="007F57F8"/>
    <w:rsid w:val="007F7C98"/>
    <w:rsid w:val="008038AC"/>
    <w:rsid w:val="008241F5"/>
    <w:rsid w:val="008274AA"/>
    <w:rsid w:val="00827E91"/>
    <w:rsid w:val="008303D2"/>
    <w:rsid w:val="00832006"/>
    <w:rsid w:val="008537F0"/>
    <w:rsid w:val="00857EE9"/>
    <w:rsid w:val="0086554B"/>
    <w:rsid w:val="00871949"/>
    <w:rsid w:val="00882AEC"/>
    <w:rsid w:val="008830F5"/>
    <w:rsid w:val="00886524"/>
    <w:rsid w:val="008A1BF7"/>
    <w:rsid w:val="008A6E35"/>
    <w:rsid w:val="008C11FA"/>
    <w:rsid w:val="008E02FC"/>
    <w:rsid w:val="00912A1B"/>
    <w:rsid w:val="00913752"/>
    <w:rsid w:val="00925BB3"/>
    <w:rsid w:val="00925EE7"/>
    <w:rsid w:val="009365FA"/>
    <w:rsid w:val="009408A2"/>
    <w:rsid w:val="00941539"/>
    <w:rsid w:val="009419C4"/>
    <w:rsid w:val="00945982"/>
    <w:rsid w:val="0095109D"/>
    <w:rsid w:val="0096116C"/>
    <w:rsid w:val="00970661"/>
    <w:rsid w:val="00973091"/>
    <w:rsid w:val="00990701"/>
    <w:rsid w:val="009A1F8F"/>
    <w:rsid w:val="009A5A49"/>
    <w:rsid w:val="009B17CE"/>
    <w:rsid w:val="009B5297"/>
    <w:rsid w:val="009B698D"/>
    <w:rsid w:val="009C59BF"/>
    <w:rsid w:val="009E083B"/>
    <w:rsid w:val="009F1B7D"/>
    <w:rsid w:val="00A023A0"/>
    <w:rsid w:val="00A03C59"/>
    <w:rsid w:val="00A0496B"/>
    <w:rsid w:val="00A11E86"/>
    <w:rsid w:val="00A1640E"/>
    <w:rsid w:val="00A26481"/>
    <w:rsid w:val="00A614DB"/>
    <w:rsid w:val="00A61D3E"/>
    <w:rsid w:val="00A6377C"/>
    <w:rsid w:val="00A81E11"/>
    <w:rsid w:val="00A95BB7"/>
    <w:rsid w:val="00AA6406"/>
    <w:rsid w:val="00AD7586"/>
    <w:rsid w:val="00AE18BB"/>
    <w:rsid w:val="00AF50C7"/>
    <w:rsid w:val="00B03AD6"/>
    <w:rsid w:val="00B1330F"/>
    <w:rsid w:val="00B3529A"/>
    <w:rsid w:val="00B61F4E"/>
    <w:rsid w:val="00B82175"/>
    <w:rsid w:val="00B82D7F"/>
    <w:rsid w:val="00BA02C1"/>
    <w:rsid w:val="00BA6564"/>
    <w:rsid w:val="00BB05EB"/>
    <w:rsid w:val="00BB708D"/>
    <w:rsid w:val="00BB75A6"/>
    <w:rsid w:val="00BD6550"/>
    <w:rsid w:val="00BE07BD"/>
    <w:rsid w:val="00BF5F4E"/>
    <w:rsid w:val="00C028D8"/>
    <w:rsid w:val="00C10018"/>
    <w:rsid w:val="00C165CA"/>
    <w:rsid w:val="00C17870"/>
    <w:rsid w:val="00C25DC6"/>
    <w:rsid w:val="00C261B8"/>
    <w:rsid w:val="00C336DB"/>
    <w:rsid w:val="00C44424"/>
    <w:rsid w:val="00C51749"/>
    <w:rsid w:val="00C56B13"/>
    <w:rsid w:val="00C56FE6"/>
    <w:rsid w:val="00C626BE"/>
    <w:rsid w:val="00C64AD0"/>
    <w:rsid w:val="00C66D2A"/>
    <w:rsid w:val="00C8708C"/>
    <w:rsid w:val="00C91A4C"/>
    <w:rsid w:val="00CC2C6F"/>
    <w:rsid w:val="00CC572C"/>
    <w:rsid w:val="00CC5FEE"/>
    <w:rsid w:val="00CC7A01"/>
    <w:rsid w:val="00CF01FC"/>
    <w:rsid w:val="00CF338A"/>
    <w:rsid w:val="00D255EC"/>
    <w:rsid w:val="00D3071C"/>
    <w:rsid w:val="00D32B7B"/>
    <w:rsid w:val="00D4450B"/>
    <w:rsid w:val="00D469A7"/>
    <w:rsid w:val="00D537B4"/>
    <w:rsid w:val="00D73DE6"/>
    <w:rsid w:val="00D8314C"/>
    <w:rsid w:val="00D95EC9"/>
    <w:rsid w:val="00DA05BC"/>
    <w:rsid w:val="00DA6C9A"/>
    <w:rsid w:val="00DA7C1F"/>
    <w:rsid w:val="00DB563C"/>
    <w:rsid w:val="00DC5DA5"/>
    <w:rsid w:val="00DD30BB"/>
    <w:rsid w:val="00DD63A0"/>
    <w:rsid w:val="00DD7F5B"/>
    <w:rsid w:val="00DE6D9D"/>
    <w:rsid w:val="00DF2A93"/>
    <w:rsid w:val="00E05973"/>
    <w:rsid w:val="00E329B4"/>
    <w:rsid w:val="00E368A1"/>
    <w:rsid w:val="00E53388"/>
    <w:rsid w:val="00E5359B"/>
    <w:rsid w:val="00E82D76"/>
    <w:rsid w:val="00E904FB"/>
    <w:rsid w:val="00E916BB"/>
    <w:rsid w:val="00E96549"/>
    <w:rsid w:val="00EA392B"/>
    <w:rsid w:val="00EB2051"/>
    <w:rsid w:val="00EB3A72"/>
    <w:rsid w:val="00EB48F3"/>
    <w:rsid w:val="00ED1932"/>
    <w:rsid w:val="00F015F1"/>
    <w:rsid w:val="00F022DE"/>
    <w:rsid w:val="00F0231F"/>
    <w:rsid w:val="00F3534F"/>
    <w:rsid w:val="00F3635D"/>
    <w:rsid w:val="00F41A61"/>
    <w:rsid w:val="00F50B52"/>
    <w:rsid w:val="00F53A75"/>
    <w:rsid w:val="00F733D3"/>
    <w:rsid w:val="00F80A5F"/>
    <w:rsid w:val="00FA3EAD"/>
    <w:rsid w:val="00FD1641"/>
    <w:rsid w:val="00FE23FE"/>
    <w:rsid w:val="00FE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8BF58C"/>
  <w15:docId w15:val="{219BE450-E2EC-4C01-B00A-626B88F4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20" w:right="1200"/>
      <w:jc w:val="center"/>
      <w:outlineLvl w:val="0"/>
    </w:pPr>
    <w:rPr>
      <w:b/>
      <w:bCs/>
      <w:sz w:val="28"/>
      <w:szCs w:val="28"/>
    </w:rPr>
  </w:style>
  <w:style w:type="paragraph" w:styleId="Heading2">
    <w:name w:val="heading 2"/>
    <w:basedOn w:val="Normal"/>
    <w:uiPriority w:val="9"/>
    <w:unhideWhenUsed/>
    <w:qFormat/>
    <w:pPr>
      <w:spacing w:before="90"/>
      <w:ind w:left="220"/>
      <w:outlineLvl w:val="1"/>
    </w:pPr>
    <w:rPr>
      <w:b/>
      <w:bCs/>
      <w:sz w:val="24"/>
      <w:szCs w:val="24"/>
      <w:u w:val="single" w:color="000000"/>
    </w:rPr>
  </w:style>
  <w:style w:type="paragraph" w:styleId="Heading3">
    <w:name w:val="heading 3"/>
    <w:basedOn w:val="Normal"/>
    <w:uiPriority w:val="9"/>
    <w:unhideWhenUsed/>
    <w:qFormat/>
    <w:pPr>
      <w:ind w:left="6"/>
      <w:outlineLvl w:val="2"/>
    </w:pPr>
    <w:rPr>
      <w:b/>
      <w:bCs/>
    </w:rPr>
  </w:style>
  <w:style w:type="paragraph" w:styleId="Heading4">
    <w:name w:val="heading 4"/>
    <w:basedOn w:val="Normal"/>
    <w:uiPriority w:val="9"/>
    <w:unhideWhenUsed/>
    <w:qFormat/>
    <w:pPr>
      <w:spacing w:line="228" w:lineRule="exact"/>
      <w:ind w:left="220"/>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6549"/>
    <w:pPr>
      <w:tabs>
        <w:tab w:val="center" w:pos="4680"/>
        <w:tab w:val="right" w:pos="9360"/>
      </w:tabs>
    </w:pPr>
  </w:style>
  <w:style w:type="character" w:customStyle="1" w:styleId="HeaderChar">
    <w:name w:val="Header Char"/>
    <w:basedOn w:val="DefaultParagraphFont"/>
    <w:link w:val="Header"/>
    <w:uiPriority w:val="99"/>
    <w:rsid w:val="00E96549"/>
    <w:rPr>
      <w:rFonts w:ascii="Times New Roman" w:eastAsia="Times New Roman" w:hAnsi="Times New Roman" w:cs="Times New Roman"/>
      <w:lang w:bidi="en-US"/>
    </w:rPr>
  </w:style>
  <w:style w:type="paragraph" w:styleId="Footer">
    <w:name w:val="footer"/>
    <w:basedOn w:val="Normal"/>
    <w:link w:val="FooterChar"/>
    <w:uiPriority w:val="99"/>
    <w:unhideWhenUsed/>
    <w:rsid w:val="00E96549"/>
    <w:pPr>
      <w:tabs>
        <w:tab w:val="center" w:pos="4680"/>
        <w:tab w:val="right" w:pos="9360"/>
      </w:tabs>
    </w:pPr>
  </w:style>
  <w:style w:type="character" w:customStyle="1" w:styleId="FooterChar">
    <w:name w:val="Footer Char"/>
    <w:basedOn w:val="DefaultParagraphFont"/>
    <w:link w:val="Footer"/>
    <w:uiPriority w:val="99"/>
    <w:rsid w:val="00E9654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36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02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 Ward</dc:creator>
  <cp:lastModifiedBy>Gina Cuttone</cp:lastModifiedBy>
  <cp:revision>2</cp:revision>
  <cp:lastPrinted>2018-10-12T20:25:00Z</cp:lastPrinted>
  <dcterms:created xsi:type="dcterms:W3CDTF">2023-10-02T15:47:00Z</dcterms:created>
  <dcterms:modified xsi:type="dcterms:W3CDTF">2023-10-02T15:47:00Z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Acrobat PDFMaker 15 for Word</vt:lpwstr>
  </property>
  <property fmtid="{D5CDD505-2E9C-101B-9397-08002B2CF9AE}" pid="4" name="LastSaved">
    <vt:filetime>2018-09-11T00:00:00Z</vt:filetime>
  </property>
</Properties>
</file>